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4BA44794"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DB1396">
        <w:rPr>
          <w:sz w:val="22"/>
          <w:szCs w:val="22"/>
          <w:lang w:val="en-GB"/>
        </w:rPr>
        <w:t>RORS00063</w:t>
      </w:r>
      <w:r w:rsidR="00910C4E">
        <w:rPr>
          <w:sz w:val="22"/>
          <w:szCs w:val="22"/>
          <w:lang w:val="en-GB"/>
        </w:rPr>
        <w:t>/IRM/0</w:t>
      </w:r>
      <w:r w:rsidR="00A20D63">
        <w:rPr>
          <w:sz w:val="22"/>
          <w:szCs w:val="22"/>
          <w:lang w:val="en-GB"/>
        </w:rPr>
        <w:t>3</w:t>
      </w:r>
    </w:p>
    <w:p w14:paraId="0682B795" w14:textId="07E88989"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DB1396" w:rsidRPr="00975A8E">
        <w:rPr>
          <w:rStyle w:val="Strong"/>
          <w:sz w:val="22"/>
          <w:szCs w:val="22"/>
          <w:lang w:val="en-GB"/>
        </w:rPr>
        <w:t xml:space="preserve">Supply of </w:t>
      </w:r>
      <w:r w:rsidR="00E704E1">
        <w:rPr>
          <w:rStyle w:val="Strong"/>
          <w:sz w:val="22"/>
          <w:szCs w:val="22"/>
          <w:lang w:val="en-GB"/>
        </w:rPr>
        <w:t>off-road vehicle</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1EB5A548" w:rsidR="0047783A" w:rsidRPr="006A5F84" w:rsidRDefault="0047783A" w:rsidP="0047783A">
      <w:pPr>
        <w:rPr>
          <w:b/>
          <w:sz w:val="22"/>
          <w:szCs w:val="22"/>
        </w:rPr>
      </w:pPr>
      <w:r w:rsidRPr="006A5F84">
        <w:rPr>
          <w:b/>
          <w:sz w:val="22"/>
          <w:szCs w:val="22"/>
        </w:rPr>
        <w:t xml:space="preserve">A: </w:t>
      </w:r>
      <w:r w:rsidR="00DB1396">
        <w:rPr>
          <w:b/>
          <w:sz w:val="22"/>
          <w:szCs w:val="22"/>
        </w:rPr>
        <w:t>Mining and Metallurgy Institute Bor, 1 Alberta Ajnštajna, 19210 Bor, Republic of Serbia.</w:t>
      </w:r>
      <w:r w:rsidRPr="006A5F84">
        <w:rPr>
          <w:b/>
          <w:sz w:val="22"/>
          <w:szCs w:val="22"/>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165ECA59" w14:textId="634FCE26" w:rsidR="00A45A0D" w:rsidRDefault="00A45A0D" w:rsidP="00513BFF">
      <w:pPr>
        <w:snapToGrid w:val="0"/>
        <w:spacing w:before="240" w:after="0"/>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00C5BA1B" w14:textId="77777777" w:rsidR="00513BFF" w:rsidRDefault="00513BFF" w:rsidP="00513BFF">
      <w:pPr>
        <w:snapToGrid w:val="0"/>
        <w:spacing w:before="240" w:after="0"/>
        <w:jc w:val="both"/>
        <w:rPr>
          <w:sz w:val="22"/>
          <w:szCs w:val="22"/>
        </w:rPr>
      </w:pPr>
    </w:p>
    <w:p w14:paraId="45AE2AFF" w14:textId="77777777" w:rsidR="00513BFF" w:rsidRDefault="00513BFF" w:rsidP="00513BFF">
      <w:pPr>
        <w:snapToGrid w:val="0"/>
        <w:spacing w:before="240" w:after="0"/>
        <w:jc w:val="both"/>
        <w:rPr>
          <w:sz w:val="22"/>
          <w:szCs w:val="22"/>
        </w:rPr>
      </w:pPr>
    </w:p>
    <w:p w14:paraId="34004AA5" w14:textId="77777777" w:rsidR="00513BFF" w:rsidRDefault="00513BFF" w:rsidP="00513BFF">
      <w:pPr>
        <w:snapToGrid w:val="0"/>
        <w:spacing w:before="240" w:after="0"/>
        <w:jc w:val="both"/>
        <w:rPr>
          <w:sz w:val="22"/>
          <w:szCs w:val="22"/>
        </w:rPr>
      </w:pPr>
    </w:p>
    <w:p w14:paraId="4C1D8FBA" w14:textId="77777777" w:rsidR="00513BFF" w:rsidRDefault="00513BFF" w:rsidP="00513BFF">
      <w:pPr>
        <w:snapToGrid w:val="0"/>
        <w:spacing w:before="240" w:after="0"/>
        <w:jc w:val="both"/>
        <w:rPr>
          <w:sz w:val="22"/>
          <w:szCs w:val="22"/>
        </w:rPr>
      </w:pPr>
    </w:p>
    <w:p w14:paraId="4915219D" w14:textId="77777777" w:rsidR="00513BFF" w:rsidRPr="00513BFF" w:rsidRDefault="00513BFF" w:rsidP="00513BFF">
      <w:pPr>
        <w:snapToGrid w:val="0"/>
        <w:spacing w:before="240" w:after="0"/>
        <w:jc w:val="both"/>
        <w:rPr>
          <w:sz w:val="22"/>
          <w:szCs w:val="22"/>
          <w:highlight w:val="yellow"/>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15892FEC" w:rsidR="00B34C65" w:rsidRDefault="00513BFF" w:rsidP="00B34C65">
            <w:pPr>
              <w:widowControl w:val="0"/>
              <w:spacing w:before="60" w:after="60"/>
              <w:jc w:val="center"/>
              <w:rPr>
                <w:b/>
                <w:sz w:val="22"/>
                <w:szCs w:val="22"/>
              </w:rPr>
            </w:pPr>
            <w:r>
              <w:rPr>
                <w:b/>
                <w:sz w:val="22"/>
                <w:szCs w:val="22"/>
              </w:rPr>
              <w:t>202</w:t>
            </w:r>
            <w:r w:rsidR="0039579F">
              <w:rPr>
                <w:b/>
                <w:sz w:val="22"/>
                <w:szCs w:val="22"/>
              </w:rPr>
              <w:t>1</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35DA361A" w:rsidR="00B34C65" w:rsidRDefault="00B34C65" w:rsidP="00B34C65">
            <w:pPr>
              <w:widowControl w:val="0"/>
              <w:spacing w:before="60" w:after="60"/>
              <w:jc w:val="center"/>
              <w:rPr>
                <w:b/>
                <w:sz w:val="22"/>
                <w:szCs w:val="22"/>
              </w:rPr>
            </w:pPr>
            <w:r w:rsidRPr="006A5F84">
              <w:rPr>
                <w:b/>
              </w:rPr>
              <w:t>Year before last year</w:t>
            </w:r>
            <w:r w:rsidRPr="006A5F84">
              <w:rPr>
                <w:b/>
              </w:rPr>
              <w:br/>
            </w:r>
            <w:r w:rsidR="00513BFF">
              <w:rPr>
                <w:b/>
                <w:sz w:val="22"/>
                <w:szCs w:val="22"/>
              </w:rPr>
              <w:t>202</w:t>
            </w:r>
            <w:r w:rsidR="0039579F">
              <w:rPr>
                <w:b/>
                <w:sz w:val="22"/>
                <w:szCs w:val="22"/>
              </w:rPr>
              <w:t>2</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65A110E8" w:rsidR="00B34C65" w:rsidRDefault="00B34C65" w:rsidP="00B34C65">
            <w:pPr>
              <w:widowControl w:val="0"/>
              <w:spacing w:before="60" w:after="60"/>
              <w:jc w:val="center"/>
              <w:rPr>
                <w:b/>
                <w:sz w:val="22"/>
                <w:szCs w:val="22"/>
              </w:rPr>
            </w:pPr>
            <w:r w:rsidRPr="006A5F84">
              <w:rPr>
                <w:b/>
              </w:rPr>
              <w:t>Last year</w:t>
            </w:r>
            <w:r w:rsidRPr="006A5F84">
              <w:rPr>
                <w:b/>
              </w:rPr>
              <w:br/>
            </w:r>
            <w:r w:rsidR="00513BFF">
              <w:rPr>
                <w:b/>
                <w:sz w:val="22"/>
                <w:szCs w:val="22"/>
              </w:rPr>
              <w:t>202</w:t>
            </w:r>
            <w:r w:rsidR="0039579F">
              <w:rPr>
                <w:b/>
                <w:sz w:val="22"/>
                <w:szCs w:val="22"/>
              </w:rPr>
              <w:t>3</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479BE88D"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38CDB770"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DB1396" w:rsidRPr="00513BFF">
        <w:rPr>
          <w:sz w:val="22"/>
          <w:szCs w:val="22"/>
        </w:rPr>
        <w:t>RORS00063</w:t>
      </w:r>
      <w:r w:rsidR="00513BFF">
        <w:rPr>
          <w:sz w:val="22"/>
          <w:szCs w:val="22"/>
        </w:rPr>
        <w:t>/IRM/0</w:t>
      </w:r>
      <w:r w:rsidR="00B55D50">
        <w:rPr>
          <w:sz w:val="22"/>
          <w:szCs w:val="22"/>
        </w:rPr>
        <w:t>3</w:t>
      </w:r>
      <w:r w:rsidRPr="006A5F84">
        <w:rPr>
          <w:sz w:val="22"/>
          <w:szCs w:val="22"/>
        </w:rPr>
        <w:t xml:space="preserve">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5A341291" w:rsidR="0047783A" w:rsidRPr="004F0604"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Pr="00513BFF">
        <w:rPr>
          <w:sz w:val="22"/>
          <w:szCs w:val="22"/>
        </w:rPr>
        <w:t>We offer to deliver, in accordance with the terms of the tender dossier and the conditions and time limits laid down, without reserve or restriction</w:t>
      </w:r>
      <w:r w:rsidRPr="004F0604">
        <w:rPr>
          <w:sz w:val="22"/>
          <w:szCs w:val="22"/>
          <w:highlight w:val="lightGray"/>
        </w:rPr>
        <w:t>:</w:t>
      </w:r>
    </w:p>
    <w:p w14:paraId="48E2385F" w14:textId="3D774B3D" w:rsidR="00657CEF" w:rsidRPr="0039579F" w:rsidRDefault="0039579F" w:rsidP="0039579F">
      <w:pPr>
        <w:ind w:left="709"/>
        <w:jc w:val="both"/>
        <w:rPr>
          <w:sz w:val="22"/>
          <w:szCs w:val="22"/>
          <w:highlight w:val="yellow"/>
        </w:rPr>
      </w:pPr>
      <w:r w:rsidRPr="0039579F">
        <w:rPr>
          <w:b/>
          <w:sz w:val="22"/>
          <w:szCs w:val="22"/>
          <w:highlight w:val="yellow"/>
        </w:rPr>
        <w:t>&lt;</w:t>
      </w:r>
      <w:r w:rsidRPr="0039579F">
        <w:rPr>
          <w:sz w:val="22"/>
          <w:szCs w:val="22"/>
          <w:highlight w:val="yellow"/>
        </w:rPr>
        <w:t>description of supplies with indication of quantities</w:t>
      </w:r>
      <w:r w:rsidRPr="0039579F">
        <w:rPr>
          <w:b/>
          <w:sz w:val="22"/>
          <w:szCs w:val="22"/>
          <w:highlight w:val="yellow"/>
        </w:rPr>
        <w:t>&gt;</w:t>
      </w: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65CAB5D9" w14:textId="2491A9A1" w:rsidR="0047783A" w:rsidRPr="006A5F84" w:rsidRDefault="0047783A" w:rsidP="0047783A">
      <w:pPr>
        <w:ind w:left="709"/>
        <w:jc w:val="both"/>
        <w:rPr>
          <w:sz w:val="22"/>
          <w:szCs w:val="22"/>
        </w:rPr>
      </w:pPr>
      <w:r w:rsidRPr="006A5F84">
        <w:rPr>
          <w:sz w:val="22"/>
          <w:szCs w:val="22"/>
        </w:rPr>
        <w:t xml:space="preserve"> </w:t>
      </w:r>
      <w:r w:rsidR="008431A6">
        <w:rPr>
          <w:sz w:val="22"/>
          <w:szCs w:val="22"/>
        </w:rPr>
        <w:t>&lt;</w:t>
      </w:r>
      <w:r w:rsidR="008431A6" w:rsidRPr="002D59A9">
        <w:rPr>
          <w:sz w:val="22"/>
          <w:szCs w:val="22"/>
          <w:highlight w:val="yellow"/>
        </w:rPr>
        <w:t>insert price and currency</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126"/>
        <w:gridCol w:w="1358"/>
        <w:gridCol w:w="1223"/>
        <w:gridCol w:w="1087"/>
        <w:gridCol w:w="1087"/>
        <w:gridCol w:w="951"/>
        <w:gridCol w:w="951"/>
      </w:tblGrid>
      <w:tr w:rsidR="00B95E2A" w:rsidRPr="006A5F84" w14:paraId="1175720A" w14:textId="77777777" w:rsidTr="00BF39B1">
        <w:trPr>
          <w:trHeight w:val="1908"/>
        </w:trPr>
        <w:tc>
          <w:tcPr>
            <w:tcW w:w="3126"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358"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46B0C5C6" w:rsidR="00B95E2A" w:rsidRPr="006A5F84" w:rsidRDefault="00513BFF" w:rsidP="0047783A">
            <w:pPr>
              <w:keepNext/>
              <w:keepLines/>
              <w:widowControl w:val="0"/>
              <w:jc w:val="center"/>
              <w:rPr>
                <w:b/>
                <w:sz w:val="22"/>
                <w:szCs w:val="22"/>
              </w:rPr>
            </w:pPr>
            <w:r>
              <w:rPr>
                <w:b/>
                <w:sz w:val="22"/>
                <w:szCs w:val="22"/>
              </w:rPr>
              <w:t>202</w:t>
            </w:r>
            <w:r w:rsidR="0039579F">
              <w:rPr>
                <w:b/>
                <w:sz w:val="22"/>
                <w:szCs w:val="22"/>
              </w:rPr>
              <w:t>1</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23"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4493E364" w:rsidR="00B95E2A" w:rsidRPr="006A5F84" w:rsidRDefault="00513BFF" w:rsidP="0047783A">
            <w:pPr>
              <w:keepNext/>
              <w:keepLines/>
              <w:widowControl w:val="0"/>
              <w:jc w:val="center"/>
              <w:rPr>
                <w:b/>
                <w:sz w:val="22"/>
                <w:szCs w:val="22"/>
              </w:rPr>
            </w:pPr>
            <w:r>
              <w:rPr>
                <w:b/>
                <w:sz w:val="22"/>
                <w:szCs w:val="22"/>
              </w:rPr>
              <w:t>202</w:t>
            </w:r>
            <w:r w:rsidR="0039579F">
              <w:rPr>
                <w:b/>
                <w:sz w:val="22"/>
                <w:szCs w:val="22"/>
              </w:rPr>
              <w:t>2</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087"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98B7D95" w:rsidR="00B95E2A" w:rsidRPr="006A5F84" w:rsidRDefault="00513BFF" w:rsidP="0047783A">
            <w:pPr>
              <w:keepNext/>
              <w:keepLines/>
              <w:widowControl w:val="0"/>
              <w:jc w:val="center"/>
              <w:rPr>
                <w:b/>
                <w:sz w:val="22"/>
                <w:szCs w:val="22"/>
              </w:rPr>
            </w:pPr>
            <w:r>
              <w:rPr>
                <w:b/>
                <w:sz w:val="22"/>
                <w:szCs w:val="22"/>
              </w:rPr>
              <w:t>202</w:t>
            </w:r>
            <w:r w:rsidR="0039579F">
              <w:rPr>
                <w:b/>
                <w:sz w:val="22"/>
                <w:szCs w:val="22"/>
              </w:rPr>
              <w:t>3</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087"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51"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51"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BF39B1">
        <w:trPr>
          <w:cantSplit/>
          <w:trHeight w:val="641"/>
        </w:trPr>
        <w:tc>
          <w:tcPr>
            <w:tcW w:w="3126"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358"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23"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087"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087"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51"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51"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BF39B1">
        <w:trPr>
          <w:cantSplit/>
          <w:trHeight w:val="381"/>
        </w:trPr>
        <w:tc>
          <w:tcPr>
            <w:tcW w:w="3126"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358" w:type="dxa"/>
            <w:tcBorders>
              <w:top w:val="nil"/>
            </w:tcBorders>
          </w:tcPr>
          <w:p w14:paraId="05B8862C" w14:textId="77777777" w:rsidR="00B95E2A" w:rsidRPr="006A5F84" w:rsidRDefault="00B95E2A" w:rsidP="0047783A">
            <w:pPr>
              <w:keepNext/>
              <w:keepLines/>
              <w:widowControl w:val="0"/>
              <w:rPr>
                <w:sz w:val="22"/>
                <w:szCs w:val="22"/>
              </w:rPr>
            </w:pPr>
          </w:p>
        </w:tc>
        <w:tc>
          <w:tcPr>
            <w:tcW w:w="1223" w:type="dxa"/>
            <w:tcBorders>
              <w:top w:val="nil"/>
            </w:tcBorders>
          </w:tcPr>
          <w:p w14:paraId="13000AC6" w14:textId="77777777" w:rsidR="00B95E2A" w:rsidRPr="006A5F84" w:rsidRDefault="00B95E2A" w:rsidP="0047783A">
            <w:pPr>
              <w:keepNext/>
              <w:keepLines/>
              <w:widowControl w:val="0"/>
              <w:rPr>
                <w:sz w:val="22"/>
                <w:szCs w:val="22"/>
              </w:rPr>
            </w:pPr>
          </w:p>
        </w:tc>
        <w:tc>
          <w:tcPr>
            <w:tcW w:w="1087"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087"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51"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51"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BF39B1">
        <w:trPr>
          <w:cantSplit/>
          <w:trHeight w:val="381"/>
        </w:trPr>
        <w:tc>
          <w:tcPr>
            <w:tcW w:w="3126"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358" w:type="dxa"/>
          </w:tcPr>
          <w:p w14:paraId="43101753" w14:textId="77777777" w:rsidR="00B95E2A" w:rsidRPr="006A5F84" w:rsidRDefault="00B95E2A" w:rsidP="0047783A">
            <w:pPr>
              <w:keepNext/>
              <w:keepLines/>
              <w:widowControl w:val="0"/>
              <w:rPr>
                <w:sz w:val="22"/>
                <w:szCs w:val="22"/>
              </w:rPr>
            </w:pPr>
          </w:p>
        </w:tc>
        <w:tc>
          <w:tcPr>
            <w:tcW w:w="1223" w:type="dxa"/>
          </w:tcPr>
          <w:p w14:paraId="5B5B92EF" w14:textId="77777777" w:rsidR="00B95E2A" w:rsidRPr="006A5F84" w:rsidRDefault="00B95E2A" w:rsidP="0047783A">
            <w:pPr>
              <w:keepNext/>
              <w:keepLines/>
              <w:widowControl w:val="0"/>
              <w:rPr>
                <w:sz w:val="22"/>
                <w:szCs w:val="22"/>
              </w:rPr>
            </w:pPr>
          </w:p>
        </w:tc>
        <w:tc>
          <w:tcPr>
            <w:tcW w:w="1087"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087"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51"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51"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BF39B1">
        <w:trPr>
          <w:cantSplit/>
          <w:trHeight w:val="885"/>
        </w:trPr>
        <w:tc>
          <w:tcPr>
            <w:tcW w:w="3126"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358"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23"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087"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087"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51"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51"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57DC8CEF" w14:textId="389F63F1" w:rsidR="009473A5" w:rsidRPr="004F0604" w:rsidRDefault="009473A5" w:rsidP="000714DC">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r w:rsidRPr="004F0604">
        <w:rPr>
          <w:rStyle w:val="Hyperlink"/>
          <w:color w:val="000000" w:themeColor="text1"/>
          <w:sz w:val="22"/>
          <w:szCs w:val="22"/>
          <w:u w:val="none"/>
        </w:rPr>
        <w:br/>
      </w:r>
    </w:p>
    <w:p w14:paraId="17AB44ED" w14:textId="675ED4B4" w:rsidR="00F330B9" w:rsidRPr="004F0604" w:rsidRDefault="00284018" w:rsidP="000714DC">
      <w:pPr>
        <w:rPr>
          <w:rStyle w:val="Hyperlink"/>
          <w:b/>
          <w:color w:val="000000" w:themeColor="text1"/>
          <w:sz w:val="22"/>
          <w:szCs w:val="22"/>
          <w:u w:val="none"/>
        </w:rPr>
      </w:pPr>
      <w:r w:rsidRPr="004F0604">
        <w:rPr>
          <w:rStyle w:val="Hyperlink"/>
          <w:b/>
          <w:color w:val="000000" w:themeColor="text1"/>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1A447006" w14:textId="5E74263F" w:rsidR="00F330B9" w:rsidRPr="009473A5" w:rsidRDefault="00F330B9" w:rsidP="004F0604">
      <w:pPr>
        <w:widowControl w:val="0"/>
        <w:jc w:val="both"/>
        <w:rPr>
          <w:sz w:val="22"/>
          <w:szCs w:val="22"/>
        </w:rPr>
      </w:pPr>
    </w:p>
    <w:sectPr w:rsidR="00F330B9" w:rsidRPr="009473A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41D1D" w14:textId="77777777" w:rsidR="006B331F" w:rsidRPr="006A5F84" w:rsidRDefault="006B331F">
      <w:r w:rsidRPr="006A5F84">
        <w:separator/>
      </w:r>
    </w:p>
  </w:endnote>
  <w:endnote w:type="continuationSeparator" w:id="0">
    <w:p w14:paraId="12DE2DD7" w14:textId="77777777" w:rsidR="006B331F" w:rsidRPr="006A5F84" w:rsidRDefault="006B331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C20C5" w14:textId="77777777" w:rsidR="006B331F" w:rsidRPr="006A5F84" w:rsidRDefault="006B331F">
      <w:r w:rsidRPr="006A5F84">
        <w:separator/>
      </w:r>
    </w:p>
  </w:footnote>
  <w:footnote w:type="continuationSeparator" w:id="0">
    <w:p w14:paraId="36E25D64" w14:textId="77777777" w:rsidR="006B331F" w:rsidRPr="006A5F84" w:rsidRDefault="006B331F">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60056079">
    <w:abstractNumId w:val="7"/>
  </w:num>
  <w:num w:numId="2" w16cid:durableId="589581442">
    <w:abstractNumId w:val="16"/>
  </w:num>
  <w:num w:numId="3" w16cid:durableId="304505388">
    <w:abstractNumId w:val="6"/>
  </w:num>
  <w:num w:numId="4" w16cid:durableId="670986805">
    <w:abstractNumId w:val="9"/>
  </w:num>
  <w:num w:numId="5" w16cid:durableId="1192257486">
    <w:abstractNumId w:val="18"/>
  </w:num>
  <w:num w:numId="6" w16cid:durableId="2036881754">
    <w:abstractNumId w:val="5"/>
  </w:num>
  <w:num w:numId="7" w16cid:durableId="1591697154">
    <w:abstractNumId w:val="2"/>
  </w:num>
  <w:num w:numId="8" w16cid:durableId="458454235">
    <w:abstractNumId w:val="0"/>
  </w:num>
  <w:num w:numId="9" w16cid:durableId="1721516382">
    <w:abstractNumId w:val="10"/>
  </w:num>
  <w:num w:numId="10" w16cid:durableId="434592212">
    <w:abstractNumId w:val="1"/>
  </w:num>
  <w:num w:numId="11" w16cid:durableId="1798180511">
    <w:abstractNumId w:val="15"/>
  </w:num>
  <w:num w:numId="12" w16cid:durableId="588463803">
    <w:abstractNumId w:val="8"/>
  </w:num>
  <w:num w:numId="13" w16cid:durableId="2015372217">
    <w:abstractNumId w:val="3"/>
  </w:num>
  <w:num w:numId="14" w16cid:durableId="1935817644">
    <w:abstractNumId w:val="13"/>
  </w:num>
  <w:num w:numId="15" w16cid:durableId="532234483">
    <w:abstractNumId w:val="14"/>
  </w:num>
  <w:num w:numId="16" w16cid:durableId="442501344">
    <w:abstractNumId w:val="4"/>
  </w:num>
  <w:num w:numId="17" w16cid:durableId="1491671204">
    <w:abstractNumId w:val="11"/>
  </w:num>
  <w:num w:numId="18" w16cid:durableId="63112949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9712F"/>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0860"/>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9579F"/>
    <w:rsid w:val="003B291B"/>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43E6B"/>
    <w:rsid w:val="00450522"/>
    <w:rsid w:val="0045310F"/>
    <w:rsid w:val="004554CB"/>
    <w:rsid w:val="004607CD"/>
    <w:rsid w:val="00476553"/>
    <w:rsid w:val="004775D2"/>
    <w:rsid w:val="0047775D"/>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3BFF"/>
    <w:rsid w:val="00516552"/>
    <w:rsid w:val="00516D71"/>
    <w:rsid w:val="0052694A"/>
    <w:rsid w:val="00535826"/>
    <w:rsid w:val="00536B4A"/>
    <w:rsid w:val="00537189"/>
    <w:rsid w:val="00556923"/>
    <w:rsid w:val="0056193F"/>
    <w:rsid w:val="005634B2"/>
    <w:rsid w:val="0056352C"/>
    <w:rsid w:val="00565E46"/>
    <w:rsid w:val="005672B7"/>
    <w:rsid w:val="0057099C"/>
    <w:rsid w:val="00575CB0"/>
    <w:rsid w:val="0057671E"/>
    <w:rsid w:val="00582894"/>
    <w:rsid w:val="00583D35"/>
    <w:rsid w:val="00586D6C"/>
    <w:rsid w:val="00587205"/>
    <w:rsid w:val="00591F23"/>
    <w:rsid w:val="00592B37"/>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945"/>
    <w:rsid w:val="00657CEF"/>
    <w:rsid w:val="00661B3C"/>
    <w:rsid w:val="00664C9B"/>
    <w:rsid w:val="0066519D"/>
    <w:rsid w:val="00673409"/>
    <w:rsid w:val="00674FF5"/>
    <w:rsid w:val="00677500"/>
    <w:rsid w:val="0068247E"/>
    <w:rsid w:val="006864D5"/>
    <w:rsid w:val="006917B2"/>
    <w:rsid w:val="00692095"/>
    <w:rsid w:val="00694910"/>
    <w:rsid w:val="006A4836"/>
    <w:rsid w:val="006A5F84"/>
    <w:rsid w:val="006B0AB1"/>
    <w:rsid w:val="006B331F"/>
    <w:rsid w:val="006C2F05"/>
    <w:rsid w:val="006C513D"/>
    <w:rsid w:val="006C6899"/>
    <w:rsid w:val="006D3BA1"/>
    <w:rsid w:val="006E0D16"/>
    <w:rsid w:val="006E4B07"/>
    <w:rsid w:val="006E56FD"/>
    <w:rsid w:val="006E6880"/>
    <w:rsid w:val="006F43E5"/>
    <w:rsid w:val="00700DE3"/>
    <w:rsid w:val="00711C72"/>
    <w:rsid w:val="0071243A"/>
    <w:rsid w:val="00724D0C"/>
    <w:rsid w:val="0073450F"/>
    <w:rsid w:val="0073546D"/>
    <w:rsid w:val="0075384B"/>
    <w:rsid w:val="00757F49"/>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DE7"/>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649E5"/>
    <w:rsid w:val="00870FD6"/>
    <w:rsid w:val="008710C3"/>
    <w:rsid w:val="00877008"/>
    <w:rsid w:val="008807F8"/>
    <w:rsid w:val="008808CB"/>
    <w:rsid w:val="008847D1"/>
    <w:rsid w:val="00885882"/>
    <w:rsid w:val="008859E6"/>
    <w:rsid w:val="00892CE9"/>
    <w:rsid w:val="008934F5"/>
    <w:rsid w:val="008A048D"/>
    <w:rsid w:val="008A39B7"/>
    <w:rsid w:val="008B63D9"/>
    <w:rsid w:val="008C4E79"/>
    <w:rsid w:val="008C5A40"/>
    <w:rsid w:val="008C5DAA"/>
    <w:rsid w:val="008C7630"/>
    <w:rsid w:val="008E40E2"/>
    <w:rsid w:val="008F3866"/>
    <w:rsid w:val="00910C4E"/>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75A8E"/>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0D63"/>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4E26"/>
    <w:rsid w:val="00AC74AC"/>
    <w:rsid w:val="00AC7636"/>
    <w:rsid w:val="00AD10B2"/>
    <w:rsid w:val="00AD281B"/>
    <w:rsid w:val="00AD2D93"/>
    <w:rsid w:val="00AD3AD6"/>
    <w:rsid w:val="00AE5192"/>
    <w:rsid w:val="00AE6600"/>
    <w:rsid w:val="00AE71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5D50"/>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BF39B1"/>
    <w:rsid w:val="00C03688"/>
    <w:rsid w:val="00C05753"/>
    <w:rsid w:val="00C12AF0"/>
    <w:rsid w:val="00C13C29"/>
    <w:rsid w:val="00C17310"/>
    <w:rsid w:val="00C20281"/>
    <w:rsid w:val="00C302E1"/>
    <w:rsid w:val="00C3235B"/>
    <w:rsid w:val="00C34E40"/>
    <w:rsid w:val="00C41328"/>
    <w:rsid w:val="00C417A4"/>
    <w:rsid w:val="00C41919"/>
    <w:rsid w:val="00C41E0B"/>
    <w:rsid w:val="00C47AE3"/>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4360"/>
    <w:rsid w:val="00CC57EC"/>
    <w:rsid w:val="00CC7DE2"/>
    <w:rsid w:val="00CD7F25"/>
    <w:rsid w:val="00CE4D8F"/>
    <w:rsid w:val="00CF2A8A"/>
    <w:rsid w:val="00CF2DE2"/>
    <w:rsid w:val="00CF30C4"/>
    <w:rsid w:val="00CF5D66"/>
    <w:rsid w:val="00CF6CFA"/>
    <w:rsid w:val="00D00DFA"/>
    <w:rsid w:val="00D02E23"/>
    <w:rsid w:val="00D0611C"/>
    <w:rsid w:val="00D243E7"/>
    <w:rsid w:val="00D24469"/>
    <w:rsid w:val="00D24893"/>
    <w:rsid w:val="00D312D2"/>
    <w:rsid w:val="00D42267"/>
    <w:rsid w:val="00D43612"/>
    <w:rsid w:val="00D46C74"/>
    <w:rsid w:val="00D52CBF"/>
    <w:rsid w:val="00D576CA"/>
    <w:rsid w:val="00D6453E"/>
    <w:rsid w:val="00D64597"/>
    <w:rsid w:val="00D662AA"/>
    <w:rsid w:val="00D66F04"/>
    <w:rsid w:val="00D678AC"/>
    <w:rsid w:val="00D71AF3"/>
    <w:rsid w:val="00D75213"/>
    <w:rsid w:val="00D83D1B"/>
    <w:rsid w:val="00D90043"/>
    <w:rsid w:val="00D93C63"/>
    <w:rsid w:val="00D95523"/>
    <w:rsid w:val="00D979C6"/>
    <w:rsid w:val="00DA4AB8"/>
    <w:rsid w:val="00DB1396"/>
    <w:rsid w:val="00DC50E2"/>
    <w:rsid w:val="00DC54A0"/>
    <w:rsid w:val="00DC608A"/>
    <w:rsid w:val="00DC6C9C"/>
    <w:rsid w:val="00DD0624"/>
    <w:rsid w:val="00DD104A"/>
    <w:rsid w:val="00DD13B0"/>
    <w:rsid w:val="00DD14D3"/>
    <w:rsid w:val="00DD18A3"/>
    <w:rsid w:val="00DE0B7E"/>
    <w:rsid w:val="00DE13B8"/>
    <w:rsid w:val="00DE49C9"/>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04E1"/>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0506"/>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 w:id="1091775567">
      <w:bodyDiv w:val="1"/>
      <w:marLeft w:val="0"/>
      <w:marRight w:val="0"/>
      <w:marTop w:val="0"/>
      <w:marBottom w:val="0"/>
      <w:divBdr>
        <w:top w:val="none" w:sz="0" w:space="0" w:color="auto"/>
        <w:left w:val="none" w:sz="0" w:space="0" w:color="auto"/>
        <w:bottom w:val="none" w:sz="0" w:space="0" w:color="auto"/>
        <w:right w:val="none" w:sz="0" w:space="0" w:color="auto"/>
      </w:divBdr>
    </w:div>
    <w:div w:id="167294555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2104</Words>
  <Characters>11993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Ivan Svrkota</cp:lastModifiedBy>
  <cp:revision>11</cp:revision>
  <cp:lastPrinted>2012-09-24T09:39:00Z</cp:lastPrinted>
  <dcterms:created xsi:type="dcterms:W3CDTF">2025-01-10T07:36:00Z</dcterms:created>
  <dcterms:modified xsi:type="dcterms:W3CDTF">2025-02-24T12:16:00Z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GrammarlyDocumentId">
    <vt:lpwstr>75ff3d8e5bf44dacd0180721a335cc42fe43f54996001b4461d99cc36553e500</vt:lpwstr>
  </property>
</Properties>
</file>